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C8" w:rsidRPr="00584DAD" w:rsidRDefault="00777E1A">
      <w:pPr>
        <w:rPr>
          <w:b/>
        </w:rPr>
      </w:pPr>
      <w:r w:rsidRPr="00584DAD">
        <w:rPr>
          <w:b/>
        </w:rPr>
        <w:t>Journée régionale CVX</w:t>
      </w:r>
      <w:r w:rsidR="00584DAD" w:rsidRPr="00584DAD">
        <w:rPr>
          <w:b/>
        </w:rPr>
        <w:tab/>
        <w:t>- Dimanche 3 avril 2016</w:t>
      </w:r>
      <w:r w:rsidR="00584DAD" w:rsidRPr="00584DAD">
        <w:rPr>
          <w:b/>
        </w:rPr>
        <w:tab/>
      </w:r>
      <w:r w:rsidR="00584DAD" w:rsidRPr="00584DAD">
        <w:rPr>
          <w:b/>
        </w:rPr>
        <w:tab/>
      </w:r>
    </w:p>
    <w:p w:rsidR="00777E1A" w:rsidRPr="00584DAD" w:rsidRDefault="00777E1A">
      <w:pPr>
        <w:rPr>
          <w:b/>
        </w:rPr>
      </w:pPr>
      <w:bookmarkStart w:id="0" w:name="_GoBack"/>
    </w:p>
    <w:p w:rsidR="00777E1A" w:rsidRPr="00777E1A" w:rsidRDefault="00777E1A" w:rsidP="00520823">
      <w:pPr>
        <w:jc w:val="center"/>
        <w:rPr>
          <w:b/>
          <w:i/>
        </w:rPr>
      </w:pPr>
      <w:r w:rsidRPr="00777E1A">
        <w:rPr>
          <w:b/>
          <w:i/>
        </w:rPr>
        <w:t xml:space="preserve">De </w:t>
      </w:r>
      <w:proofErr w:type="spellStart"/>
      <w:r w:rsidRPr="00584DAD">
        <w:rPr>
          <w:b/>
        </w:rPr>
        <w:t>Laudato</w:t>
      </w:r>
      <w:proofErr w:type="spellEnd"/>
      <w:r w:rsidRPr="00584DAD">
        <w:rPr>
          <w:b/>
        </w:rPr>
        <w:t xml:space="preserve"> si</w:t>
      </w:r>
      <w:r w:rsidRPr="00777E1A">
        <w:rPr>
          <w:b/>
          <w:i/>
        </w:rPr>
        <w:t>’ à l’année de la miséricorde : regarder avec le cœur</w:t>
      </w:r>
      <w:r w:rsidR="00584DAD">
        <w:rPr>
          <w:b/>
          <w:i/>
        </w:rPr>
        <w:t xml:space="preserve"> pour agir de tout</w:t>
      </w:r>
      <w:r w:rsidRPr="00777E1A">
        <w:rPr>
          <w:b/>
          <w:i/>
        </w:rPr>
        <w:t xml:space="preserve"> cœur</w:t>
      </w:r>
    </w:p>
    <w:bookmarkEnd w:id="0"/>
    <w:p w:rsidR="00777E1A" w:rsidRDefault="00777E1A" w:rsidP="00520823">
      <w:pPr>
        <w:jc w:val="center"/>
      </w:pPr>
      <w:r>
        <w:t>Quelques citations</w:t>
      </w:r>
    </w:p>
    <w:p w:rsidR="00520823" w:rsidRDefault="00520823" w:rsidP="00520823">
      <w:pPr>
        <w:rPr>
          <w:i/>
        </w:rPr>
      </w:pPr>
      <w:r>
        <w:rPr>
          <w:i/>
        </w:rPr>
        <w:t xml:space="preserve">La miséricorde : </w:t>
      </w:r>
    </w:p>
    <w:p w:rsidR="00520823" w:rsidRPr="0051027C" w:rsidRDefault="00520823" w:rsidP="00520823">
      <w:pPr>
        <w:rPr>
          <w:lang w:eastAsia="fr-FR"/>
        </w:rPr>
      </w:pPr>
      <w:r w:rsidRPr="0051027C">
        <w:rPr>
          <w:lang w:eastAsia="fr-FR"/>
        </w:rPr>
        <w:t>Jésus-Christ est le visage de la miséricorde du Père. Le mystère de la foi chrétienne est là tout entier (</w:t>
      </w:r>
      <w:r w:rsidRPr="0051027C">
        <w:rPr>
          <w:i/>
          <w:lang w:eastAsia="fr-FR"/>
        </w:rPr>
        <w:t xml:space="preserve">MV </w:t>
      </w:r>
      <w:r w:rsidRPr="0051027C">
        <w:rPr>
          <w:lang w:eastAsia="fr-FR"/>
        </w:rPr>
        <w:t>1)</w:t>
      </w:r>
    </w:p>
    <w:p w:rsidR="00520823" w:rsidRPr="0051027C" w:rsidRDefault="00520823" w:rsidP="00520823">
      <w:r w:rsidRPr="0051027C">
        <w:rPr>
          <w:lang w:eastAsia="fr-FR"/>
        </w:rPr>
        <w:t>La miséricorde, c’est la loi fondamentale qui habite le cœur de chacun lorsqu’il jette un regard sincère sur le frère qu’il rencontre sur le chemin de la vie. (</w:t>
      </w:r>
      <w:r w:rsidRPr="0051027C">
        <w:rPr>
          <w:i/>
          <w:lang w:eastAsia="fr-FR"/>
        </w:rPr>
        <w:t xml:space="preserve">MV </w:t>
      </w:r>
      <w:r w:rsidRPr="0051027C">
        <w:rPr>
          <w:lang w:eastAsia="fr-FR"/>
        </w:rPr>
        <w:t>2)</w:t>
      </w:r>
    </w:p>
    <w:p w:rsidR="00520823" w:rsidRDefault="003A061D" w:rsidP="00520823">
      <w:r>
        <w:rPr>
          <w:i/>
        </w:rPr>
        <w:t xml:space="preserve">Le regard de Jésus : </w:t>
      </w:r>
    </w:p>
    <w:p w:rsidR="00520823" w:rsidRPr="0051027C" w:rsidRDefault="00520823" w:rsidP="00520823">
      <w:pPr>
        <w:rPr>
          <w:lang w:eastAsia="fr-FR"/>
        </w:rPr>
      </w:pPr>
      <w:r w:rsidRPr="0051027C">
        <w:rPr>
          <w:lang w:eastAsia="fr-FR"/>
        </w:rPr>
        <w:t xml:space="preserve">Passant devant le comptoir des impôts, Jésus regarda Matthieu dans les yeux. C’était un regard riche de miséricorde qui pardonnait les péchés de cet homme, et surmontant les résistances des autres disciples, il le choisit, lui, le pécheur et le publicain, pour devenir l’un des Douze. Commentant cette scène de l’Evangile, Saint Bède le Vénérable a écrit que Jésus regarda Matthieu avec un amour miséricordieux, et le choisit : </w:t>
      </w:r>
      <w:proofErr w:type="spellStart"/>
      <w:r w:rsidRPr="0051027C">
        <w:rPr>
          <w:i/>
          <w:iCs/>
          <w:lang w:eastAsia="fr-FR"/>
        </w:rPr>
        <w:t>miserando</w:t>
      </w:r>
      <w:proofErr w:type="spellEnd"/>
      <w:r w:rsidRPr="0051027C">
        <w:rPr>
          <w:i/>
          <w:iCs/>
          <w:lang w:eastAsia="fr-FR"/>
        </w:rPr>
        <w:t xml:space="preserve"> </w:t>
      </w:r>
      <w:proofErr w:type="spellStart"/>
      <w:r w:rsidRPr="0051027C">
        <w:rPr>
          <w:i/>
          <w:iCs/>
          <w:lang w:eastAsia="fr-FR"/>
        </w:rPr>
        <w:t>atque</w:t>
      </w:r>
      <w:proofErr w:type="spellEnd"/>
      <w:r w:rsidRPr="0051027C">
        <w:rPr>
          <w:i/>
          <w:iCs/>
          <w:lang w:eastAsia="fr-FR"/>
        </w:rPr>
        <w:t xml:space="preserve"> </w:t>
      </w:r>
      <w:proofErr w:type="spellStart"/>
      <w:r w:rsidRPr="0051027C">
        <w:rPr>
          <w:i/>
          <w:iCs/>
          <w:lang w:eastAsia="fr-FR"/>
        </w:rPr>
        <w:t>eligendo</w:t>
      </w:r>
      <w:proofErr w:type="spellEnd"/>
      <w:r w:rsidRPr="0051027C">
        <w:rPr>
          <w:i/>
          <w:iCs/>
          <w:lang w:eastAsia="fr-FR"/>
        </w:rPr>
        <w:t>.</w:t>
      </w:r>
      <w:r>
        <w:rPr>
          <w:i/>
          <w:iCs/>
          <w:lang w:eastAsia="fr-FR"/>
        </w:rPr>
        <w:t xml:space="preserve"> </w:t>
      </w:r>
      <w:r w:rsidRPr="0051027C">
        <w:rPr>
          <w:lang w:eastAsia="fr-FR"/>
        </w:rPr>
        <w:t>Cette expression m’a toujours fait impression au point d’en faire ma devise (</w:t>
      </w:r>
      <w:r w:rsidRPr="0051027C">
        <w:rPr>
          <w:i/>
          <w:lang w:eastAsia="fr-FR"/>
        </w:rPr>
        <w:t>MV</w:t>
      </w:r>
      <w:r w:rsidRPr="0051027C">
        <w:rPr>
          <w:lang w:eastAsia="fr-FR"/>
        </w:rPr>
        <w:t xml:space="preserve"> 8).</w:t>
      </w:r>
    </w:p>
    <w:p w:rsidR="003A061D" w:rsidRPr="003A061D" w:rsidRDefault="003A061D" w:rsidP="003A061D">
      <w:r w:rsidRPr="000B128A">
        <w:t>Le Seigneur pouvait inviter les autres à être attentifs à la beauté qu’il y a dans le monde, parce qu’il était lui-même en contact permanent avec la nature et y prêtait une attention pleine d’affection et de stupéfaction. Quand il parcourait chaque coin de sa terre, il s’arrêtait pour contempler la beauté semée par son Père, et il invitait ses disciples à reconnaître dans les choses un message divin : « Levez les yeux et regardez les champs, ils sont blancs pour la moisson » (</w:t>
      </w:r>
      <w:proofErr w:type="spellStart"/>
      <w:r w:rsidRPr="000B128A">
        <w:rPr>
          <w:i/>
          <w:iCs/>
        </w:rPr>
        <w:t>Jn</w:t>
      </w:r>
      <w:proofErr w:type="spellEnd"/>
      <w:r w:rsidRPr="000B128A">
        <w:rPr>
          <w:i/>
          <w:iCs/>
        </w:rPr>
        <w:t xml:space="preserve"> </w:t>
      </w:r>
      <w:r w:rsidRPr="000B128A">
        <w:t>4, 35). « Le Royaume des Cieux est semblable à un grain de sénevé qu’un homme a pris et semé dans son champ. C’est bien la plus petite de toutes les graines, mais quand il a poussé, c’est la plus grande des plantes potagères, qui devient même un arbre » (</w:t>
      </w:r>
      <w:r w:rsidRPr="000B128A">
        <w:rPr>
          <w:i/>
          <w:iCs/>
        </w:rPr>
        <w:t xml:space="preserve">Mt </w:t>
      </w:r>
      <w:r w:rsidRPr="000B128A">
        <w:t>13, 31-32).</w:t>
      </w:r>
      <w:r>
        <w:t xml:space="preserve"> (</w:t>
      </w:r>
      <w:r>
        <w:rPr>
          <w:i/>
        </w:rPr>
        <w:t xml:space="preserve">LS </w:t>
      </w:r>
      <w:r>
        <w:t>97)</w:t>
      </w:r>
    </w:p>
    <w:p w:rsidR="00520823" w:rsidRPr="00520823" w:rsidRDefault="00520823" w:rsidP="003A061D">
      <w:pPr>
        <w:rPr>
          <w:i/>
        </w:rPr>
      </w:pPr>
      <w:r>
        <w:rPr>
          <w:i/>
        </w:rPr>
        <w:t xml:space="preserve">Un regard qui </w:t>
      </w:r>
      <w:proofErr w:type="spellStart"/>
      <w:r>
        <w:rPr>
          <w:i/>
        </w:rPr>
        <w:t>com-patit</w:t>
      </w:r>
      <w:proofErr w:type="spellEnd"/>
    </w:p>
    <w:p w:rsidR="00777E1A" w:rsidRDefault="003A061D" w:rsidP="003A061D">
      <w:r w:rsidRPr="000B128A">
        <w:t>L’objectif n’est pas de recueillir des informations ni de satisfaire notre curiosité, mais de prendre une douloureuse conscience, d’oser transformer en souffrance personnelle ce qui se passe dans le monde, et ainsi de reconnaître la contri</w:t>
      </w:r>
      <w:r>
        <w:t>bution que chacun peut apporter (</w:t>
      </w:r>
      <w:r>
        <w:rPr>
          <w:i/>
        </w:rPr>
        <w:t xml:space="preserve">LS </w:t>
      </w:r>
      <w:r>
        <w:t>19).</w:t>
      </w:r>
    </w:p>
    <w:p w:rsidR="003A061D" w:rsidRDefault="003A061D" w:rsidP="003A061D">
      <w:r>
        <w:t>Quand nous regardons le visage de ceux qui souffrent, le visage du paysan menacé, du travailleur exclu, de l'indigène opprimé, de la famille sans toit, du migrant persécuté, du jeune en chômage, de l'enfant exploité, de la mère qui a perdu son fils dans une fusillade parce que le quartier a été accaparé par le trafic de stupéfiants, du père qui a perdu sa fille parce qu'elle a été soumise à l'esclavage ; quand nous nous rappelons ces ‘‘</w:t>
      </w:r>
      <w:r>
        <w:rPr>
          <w:i/>
        </w:rPr>
        <w:t>visages et ces noms</w:t>
      </w:r>
      <w:r>
        <w:t>’’, nous sommes profondément bouleversés face à tant de douleur et nous sommes émus, nous sommes tous émus... Car ‘‘</w:t>
      </w:r>
      <w:r>
        <w:rPr>
          <w:i/>
        </w:rPr>
        <w:t>nous avons vu et entendu</w:t>
      </w:r>
      <w:r>
        <w:t xml:space="preserve">’’, non pas la statistique froide mais les blessures de l'humanité souffrante, nos blessures, notre chair. Cela est très différent de la théorisation abstraite ou de l'indignation élégante. Cela nous émeut, nous fait bouger et nous cherchons l'autre pour bouger ensemble. Cette émotion faite action communautaire ne se comprend pas uniquement avec la raison : elle a un </w:t>
      </w:r>
      <w:r>
        <w:rPr>
          <w:i/>
        </w:rPr>
        <w:t>supplément</w:t>
      </w:r>
      <w:r>
        <w:t xml:space="preserve"> de sens que seuls comprennent les peuples et qui donne aux vrais mouvements populaires leur mystique particulière (</w:t>
      </w:r>
      <w:r w:rsidRPr="00101416">
        <w:t xml:space="preserve">François, </w:t>
      </w:r>
      <w:r>
        <w:t>« </w:t>
      </w:r>
      <w:r w:rsidRPr="007B1DDD">
        <w:t>Discours à la 2</w:t>
      </w:r>
      <w:r w:rsidRPr="007B1DDD">
        <w:rPr>
          <w:vertAlign w:val="superscript"/>
        </w:rPr>
        <w:t>nde</w:t>
      </w:r>
      <w:r w:rsidRPr="007B1DDD">
        <w:t xml:space="preserve"> rencontre mondiale des mouvements populaires</w:t>
      </w:r>
      <w:r w:rsidRPr="00101416">
        <w:t xml:space="preserve"> </w:t>
      </w:r>
      <w:r>
        <w:t>(Santa Cruz.</w:t>
      </w:r>
      <w:r w:rsidRPr="00101416">
        <w:t xml:space="preserve"> 9 juillet 2015</w:t>
      </w:r>
      <w:r>
        <w:t>)</w:t>
      </w:r>
    </w:p>
    <w:p w:rsidR="0051027C" w:rsidRDefault="0051027C" w:rsidP="0051027C">
      <w:r>
        <w:lastRenderedPageBreak/>
        <w:t xml:space="preserve">[Les pauvres] ont beaucoup à nous enseigner. […] </w:t>
      </w:r>
      <w:r w:rsidRPr="007F405C">
        <w:t>Il est nécessaire que tous</w:t>
      </w:r>
      <w:r w:rsidR="00520823">
        <w:t xml:space="preserve"> </w:t>
      </w:r>
      <w:r w:rsidRPr="007F405C">
        <w:t>nous nous</w:t>
      </w:r>
      <w:r>
        <w:t xml:space="preserve"> laissions évangéliser par eux. […] </w:t>
      </w:r>
      <w:r w:rsidRPr="007F405C">
        <w:t>Nous sommes appelés à découvrir le Christ</w:t>
      </w:r>
      <w:r w:rsidR="00520823">
        <w:t xml:space="preserve"> </w:t>
      </w:r>
      <w:r w:rsidRPr="007F405C">
        <w:t xml:space="preserve">en eux, à prêter notre voix à </w:t>
      </w:r>
      <w:r w:rsidR="00520823">
        <w:t>l</w:t>
      </w:r>
      <w:r w:rsidRPr="007F405C">
        <w:t>eurs causes, mais aussi à être leurs amis, à les</w:t>
      </w:r>
      <w:r>
        <w:t xml:space="preserve"> </w:t>
      </w:r>
      <w:r w:rsidRPr="007F405C">
        <w:t xml:space="preserve">écouter, à les comprendre et à accueillir la </w:t>
      </w:r>
      <w:r w:rsidR="00520823">
        <w:t>m</w:t>
      </w:r>
      <w:r w:rsidRPr="007F405C">
        <w:t>ystérieuse sagesse que Dieu veut</w:t>
      </w:r>
      <w:r>
        <w:t xml:space="preserve"> nous communiquer à travers eux (</w:t>
      </w:r>
      <w:r>
        <w:rPr>
          <w:i/>
        </w:rPr>
        <w:t>EG</w:t>
      </w:r>
      <w:r>
        <w:t xml:space="preserve"> 198).</w:t>
      </w:r>
    </w:p>
    <w:p w:rsidR="00520823" w:rsidRDefault="00520823">
      <w:pPr>
        <w:rPr>
          <w:i/>
        </w:rPr>
      </w:pPr>
      <w:r>
        <w:rPr>
          <w:i/>
        </w:rPr>
        <w:t>Conversion personnelle et transformation des structures</w:t>
      </w:r>
    </w:p>
    <w:p w:rsidR="00EB273F" w:rsidRPr="00EB273F" w:rsidRDefault="00584DAD" w:rsidP="00EB273F">
      <w:r>
        <w:t>L</w:t>
      </w:r>
      <w:r w:rsidR="00EB273F" w:rsidRPr="000B128A">
        <w:t xml:space="preserve">a crise écologique est un appel à une </w:t>
      </w:r>
      <w:r w:rsidR="00EB273F">
        <w:t>profonde conversion intérieure […]. [Les chrétiens]</w:t>
      </w:r>
      <w:r w:rsidR="00EB273F" w:rsidRPr="000B128A">
        <w:t xml:space="preserve"> ont donc besoin d’une </w:t>
      </w:r>
      <w:r w:rsidR="00EB273F" w:rsidRPr="000B128A">
        <w:rPr>
          <w:i/>
          <w:iCs/>
        </w:rPr>
        <w:t>conversion écologique</w:t>
      </w:r>
      <w:r w:rsidR="00EB273F" w:rsidRPr="000B128A">
        <w:t>, qui implique de laisser jaillir toutes les conséquences de leur rencontre avec Jésus-Christ sur les relations avec le monde qui les entoure. Vivre la vocation de protecteurs de l’œuvre de Dieu est une part essentielle d’une existence vertueuse ; cela n’est pas quelque chose d’optionnel ni un aspect secondaire dans l’expérience chrétienne.</w:t>
      </w:r>
      <w:r w:rsidR="00EB273F">
        <w:t xml:space="preserve"> (</w:t>
      </w:r>
      <w:r w:rsidR="00EB273F">
        <w:rPr>
          <w:i/>
        </w:rPr>
        <w:t xml:space="preserve">LS </w:t>
      </w:r>
      <w:r w:rsidR="00EB273F">
        <w:t xml:space="preserve"> 217)</w:t>
      </w:r>
    </w:p>
    <w:p w:rsidR="00EB273F" w:rsidRPr="00EB273F" w:rsidRDefault="00EB273F" w:rsidP="00EB273F">
      <w:r>
        <w:t>Ce qui arrive en ce moment nous met devant l’urgence d’une révolution culturelle courageuse (</w:t>
      </w:r>
      <w:r>
        <w:rPr>
          <w:i/>
        </w:rPr>
        <w:t xml:space="preserve">LS </w:t>
      </w:r>
      <w:r>
        <w:t>114)</w:t>
      </w:r>
    </w:p>
    <w:p w:rsidR="00EB273F" w:rsidRDefault="00520823" w:rsidP="00EB273F">
      <w:r w:rsidRPr="000B128A">
        <w:t>La conversion écologique requise pour créer un dynamisme de changement durable est aussi une conversion communautaire.</w:t>
      </w:r>
      <w:r>
        <w:t xml:space="preserve"> </w:t>
      </w:r>
      <w:r w:rsidRPr="000B128A">
        <w:t>Cette conversion suppose diverses attitudes qui se conjuguent pour promouvoir une protection généreuse et pleine de tendresse. En premier lieu, elle implique gratitude et gratuité, c’est-à-dire une reconnaissance du monde comme don reçu de l’amour du Père, ce qui a pour conséquence des attitudes gratuites de renoncement et des attitudes généreuses même si personne ne les voit ou ne les reconnaît : « Que ta main gauche ignore ce que fait ta main droite [...] et ton Père qui voit dans le secret, te le rendra » (</w:t>
      </w:r>
      <w:r w:rsidRPr="000B128A">
        <w:rPr>
          <w:i/>
          <w:iCs/>
        </w:rPr>
        <w:t xml:space="preserve">Mt </w:t>
      </w:r>
      <w:r w:rsidRPr="000B128A">
        <w:t>6, 3-4). Cette conversion implique aussi la conscience amoureuse de ne pas être déconnecté des autres créatures, de former avec les autres êtres de l’univers une belle communion universelle. Pour le croyant, le monde ne se contemple pas de l’extérieur mais de l’intérieur, en reconnaissant les liens par lesquels le Père nous a unis à tous les êtres. En outre, en faisant croître les capacités spécifiques que Dieu lui a données, la conversion écologique conduit le croyant à développer sa créativité et son enthousiasme, pour affronter les drames du monde en s’offrant à Dieu « comme un sacrifice vivant, saint et agréable » (</w:t>
      </w:r>
      <w:proofErr w:type="spellStart"/>
      <w:r>
        <w:rPr>
          <w:i/>
        </w:rPr>
        <w:t>R</w:t>
      </w:r>
      <w:r w:rsidRPr="000B128A">
        <w:rPr>
          <w:i/>
          <w:iCs/>
        </w:rPr>
        <w:t>m</w:t>
      </w:r>
      <w:proofErr w:type="spellEnd"/>
      <w:r w:rsidRPr="000B128A">
        <w:rPr>
          <w:i/>
          <w:iCs/>
        </w:rPr>
        <w:t xml:space="preserve"> </w:t>
      </w:r>
      <w:r w:rsidRPr="000B128A">
        <w:t>12, 1). Il ne comprend pas sa supériorité comme motif de gloire personnelle ou de domination irresponsable, mais comme une capacité différente, lui imposant à son tour une grave responsabilité qui naît de sa foi</w:t>
      </w:r>
      <w:r>
        <w:t xml:space="preserve"> (</w:t>
      </w:r>
      <w:r>
        <w:rPr>
          <w:i/>
        </w:rPr>
        <w:t xml:space="preserve">LS </w:t>
      </w:r>
      <w:r>
        <w:t>219-220)</w:t>
      </w:r>
    </w:p>
    <w:p w:rsidR="00520823" w:rsidRDefault="00EB273F" w:rsidP="00EB273F">
      <w:r w:rsidRPr="000B128A">
        <w:t>Quand quelqu’un n’apprend pas à s’arrêter pour observer et pour évaluer ce qui est beau, il n’est pas étonnant que tout devienne pour lui objet d</w:t>
      </w:r>
      <w:r>
        <w:t>’usage et d’abus sans scrupule (</w:t>
      </w:r>
      <w:r>
        <w:rPr>
          <w:i/>
        </w:rPr>
        <w:t xml:space="preserve">LS </w:t>
      </w:r>
      <w:r>
        <w:t>215).</w:t>
      </w:r>
    </w:p>
    <w:p w:rsidR="00EB273F" w:rsidRDefault="00EB273F" w:rsidP="00EB273F">
      <w:pPr>
        <w:rPr>
          <w:i/>
        </w:rPr>
      </w:pPr>
      <w:r>
        <w:rPr>
          <w:i/>
        </w:rPr>
        <w:t>Joie et espérance</w:t>
      </w:r>
    </w:p>
    <w:p w:rsidR="00EB273F" w:rsidRPr="00EB273F" w:rsidRDefault="00EB273F" w:rsidP="00EB273F">
      <w:r w:rsidRPr="000B128A">
        <w:t xml:space="preserve">Marchons en chantant ! Que nos luttes et notre préoccupation pour cette planète ne nous enlèvent pas la joie de l’espérance. Dieu qui nous appelle à un engagement généreux, et à tout donner, nous offre les forces ainsi que la lumière dont nous avons besoin pour aller de l’avant. Au cœur de ce monde, le Seigneur de la vie qui nous aime tant, continue d’être présent. Il ne nous abandonne pas, </w:t>
      </w:r>
      <w:proofErr w:type="gramStart"/>
      <w:r w:rsidRPr="000B128A">
        <w:t>il</w:t>
      </w:r>
      <w:proofErr w:type="gramEnd"/>
      <w:r w:rsidRPr="000B128A">
        <w:t xml:space="preserve"> ne nous laisse pas seuls, parce qu’il s’est définitivement uni à notre terre, et son amour nous porte toujours à trouver de nouveaux chemins. Loué soit-il</w:t>
      </w:r>
      <w:r>
        <w:t>. (</w:t>
      </w:r>
      <w:r>
        <w:rPr>
          <w:i/>
        </w:rPr>
        <w:t xml:space="preserve">LS </w:t>
      </w:r>
      <w:r>
        <w:t>244-245).</w:t>
      </w:r>
    </w:p>
    <w:sectPr w:rsidR="00EB273F" w:rsidRPr="00EB273F" w:rsidSect="00584DAD">
      <w:headerReference w:type="default" r:id="rId7"/>
      <w:pgSz w:w="11906" w:h="16838"/>
      <w:pgMar w:top="1285"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FC7" w:rsidRDefault="008E5FC7" w:rsidP="003A061D">
      <w:pPr>
        <w:spacing w:after="0" w:line="240" w:lineRule="auto"/>
      </w:pPr>
      <w:r>
        <w:separator/>
      </w:r>
    </w:p>
  </w:endnote>
  <w:endnote w:type="continuationSeparator" w:id="0">
    <w:p w:rsidR="008E5FC7" w:rsidRDefault="008E5FC7" w:rsidP="003A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FC7" w:rsidRDefault="008E5FC7" w:rsidP="003A061D">
      <w:pPr>
        <w:spacing w:after="0" w:line="240" w:lineRule="auto"/>
      </w:pPr>
      <w:r>
        <w:separator/>
      </w:r>
    </w:p>
  </w:footnote>
  <w:footnote w:type="continuationSeparator" w:id="0">
    <w:p w:rsidR="008E5FC7" w:rsidRDefault="008E5FC7" w:rsidP="003A06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AD" w:rsidRPr="00584DAD" w:rsidRDefault="00584DAD">
    <w:pPr>
      <w:pStyle w:val="En-tte"/>
      <w:rPr>
        <w:sz w:val="16"/>
        <w:szCs w:val="16"/>
      </w:rPr>
    </w:pPr>
    <w:r>
      <w:tab/>
    </w:r>
    <w:r>
      <w:tab/>
    </w:r>
    <w:r w:rsidRPr="00584DAD">
      <w:rPr>
        <w:sz w:val="16"/>
        <w:szCs w:val="16"/>
      </w:rPr>
      <w:t xml:space="preserve">Grégoire Catta </w:t>
    </w:r>
    <w:proofErr w:type="spellStart"/>
    <w:r w:rsidRPr="00584DAD">
      <w:rPr>
        <w:sz w:val="16"/>
        <w:szCs w:val="16"/>
      </w:rPr>
      <w:t>sj</w:t>
    </w:r>
    <w:proofErr w:type="spellEnd"/>
    <w:r w:rsidRPr="00584DAD">
      <w:rPr>
        <w:sz w:val="16"/>
        <w:szCs w:val="16"/>
      </w:rPr>
      <w:t xml:space="preserve"> – </w:t>
    </w:r>
    <w:proofErr w:type="spellStart"/>
    <w:r w:rsidRPr="00584DAD">
      <w:rPr>
        <w:sz w:val="16"/>
        <w:szCs w:val="16"/>
      </w:rPr>
      <w:t>Ceras</w:t>
    </w:r>
    <w:proofErr w:type="spellEnd"/>
    <w:r w:rsidRPr="00584DAD">
      <w:rPr>
        <w:sz w:val="16"/>
        <w:szCs w:val="16"/>
      </w:rPr>
      <w:t>/Centre Sèvres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1A"/>
    <w:rsid w:val="001F527E"/>
    <w:rsid w:val="003678E8"/>
    <w:rsid w:val="003A061D"/>
    <w:rsid w:val="0051027C"/>
    <w:rsid w:val="00520823"/>
    <w:rsid w:val="00584DAD"/>
    <w:rsid w:val="006B58BA"/>
    <w:rsid w:val="00777E1A"/>
    <w:rsid w:val="008E5FC7"/>
    <w:rsid w:val="00DF3514"/>
    <w:rsid w:val="00EB27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3A061D"/>
    <w:pPr>
      <w:spacing w:after="0" w:line="240" w:lineRule="auto"/>
      <w:jc w:val="both"/>
    </w:pPr>
    <w:rPr>
      <w:sz w:val="20"/>
      <w:szCs w:val="20"/>
    </w:rPr>
  </w:style>
  <w:style w:type="character" w:customStyle="1" w:styleId="NotedebasdepageCar">
    <w:name w:val="Note de bas de page Car"/>
    <w:basedOn w:val="Policepardfaut"/>
    <w:link w:val="Notedebasdepage"/>
    <w:uiPriority w:val="99"/>
    <w:rsid w:val="003A061D"/>
    <w:rPr>
      <w:sz w:val="20"/>
      <w:szCs w:val="20"/>
    </w:rPr>
  </w:style>
  <w:style w:type="character" w:styleId="Marquenotebasdepage">
    <w:name w:val="footnote reference"/>
    <w:basedOn w:val="Policepardfaut"/>
    <w:uiPriority w:val="99"/>
    <w:semiHidden/>
    <w:unhideWhenUsed/>
    <w:rsid w:val="003A061D"/>
    <w:rPr>
      <w:vertAlign w:val="superscript"/>
    </w:rPr>
  </w:style>
  <w:style w:type="paragraph" w:styleId="Citation">
    <w:name w:val="Quote"/>
    <w:basedOn w:val="Normal"/>
    <w:next w:val="Normal"/>
    <w:link w:val="CitationCar"/>
    <w:uiPriority w:val="29"/>
    <w:qFormat/>
    <w:rsid w:val="0051027C"/>
    <w:pPr>
      <w:spacing w:after="240" w:line="276" w:lineRule="auto"/>
      <w:ind w:left="720"/>
      <w:jc w:val="both"/>
    </w:pPr>
    <w:rPr>
      <w:iCs/>
      <w:color w:val="000000" w:themeColor="text1"/>
    </w:rPr>
  </w:style>
  <w:style w:type="character" w:customStyle="1" w:styleId="CitationCar">
    <w:name w:val="Citation Car"/>
    <w:basedOn w:val="Policepardfaut"/>
    <w:link w:val="Citation"/>
    <w:uiPriority w:val="29"/>
    <w:rsid w:val="0051027C"/>
    <w:rPr>
      <w:iCs/>
      <w:color w:val="000000" w:themeColor="text1"/>
    </w:rPr>
  </w:style>
  <w:style w:type="paragraph" w:styleId="En-tte">
    <w:name w:val="header"/>
    <w:basedOn w:val="Normal"/>
    <w:link w:val="En-tteCar"/>
    <w:uiPriority w:val="99"/>
    <w:unhideWhenUsed/>
    <w:rsid w:val="00584DAD"/>
    <w:pPr>
      <w:tabs>
        <w:tab w:val="center" w:pos="4513"/>
        <w:tab w:val="right" w:pos="9026"/>
      </w:tabs>
      <w:spacing w:after="0" w:line="240" w:lineRule="auto"/>
    </w:pPr>
  </w:style>
  <w:style w:type="character" w:customStyle="1" w:styleId="En-tteCar">
    <w:name w:val="En-tête Car"/>
    <w:basedOn w:val="Policepardfaut"/>
    <w:link w:val="En-tte"/>
    <w:uiPriority w:val="99"/>
    <w:rsid w:val="00584DAD"/>
  </w:style>
  <w:style w:type="paragraph" w:styleId="Pieddepage">
    <w:name w:val="footer"/>
    <w:basedOn w:val="Normal"/>
    <w:link w:val="PieddepageCar"/>
    <w:uiPriority w:val="99"/>
    <w:unhideWhenUsed/>
    <w:rsid w:val="00584DA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84D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3A061D"/>
    <w:pPr>
      <w:spacing w:after="0" w:line="240" w:lineRule="auto"/>
      <w:jc w:val="both"/>
    </w:pPr>
    <w:rPr>
      <w:sz w:val="20"/>
      <w:szCs w:val="20"/>
    </w:rPr>
  </w:style>
  <w:style w:type="character" w:customStyle="1" w:styleId="NotedebasdepageCar">
    <w:name w:val="Note de bas de page Car"/>
    <w:basedOn w:val="Policepardfaut"/>
    <w:link w:val="Notedebasdepage"/>
    <w:uiPriority w:val="99"/>
    <w:rsid w:val="003A061D"/>
    <w:rPr>
      <w:sz w:val="20"/>
      <w:szCs w:val="20"/>
    </w:rPr>
  </w:style>
  <w:style w:type="character" w:styleId="Marquenotebasdepage">
    <w:name w:val="footnote reference"/>
    <w:basedOn w:val="Policepardfaut"/>
    <w:uiPriority w:val="99"/>
    <w:semiHidden/>
    <w:unhideWhenUsed/>
    <w:rsid w:val="003A061D"/>
    <w:rPr>
      <w:vertAlign w:val="superscript"/>
    </w:rPr>
  </w:style>
  <w:style w:type="paragraph" w:styleId="Citation">
    <w:name w:val="Quote"/>
    <w:basedOn w:val="Normal"/>
    <w:next w:val="Normal"/>
    <w:link w:val="CitationCar"/>
    <w:uiPriority w:val="29"/>
    <w:qFormat/>
    <w:rsid w:val="0051027C"/>
    <w:pPr>
      <w:spacing w:after="240" w:line="276" w:lineRule="auto"/>
      <w:ind w:left="720"/>
      <w:jc w:val="both"/>
    </w:pPr>
    <w:rPr>
      <w:iCs/>
      <w:color w:val="000000" w:themeColor="text1"/>
    </w:rPr>
  </w:style>
  <w:style w:type="character" w:customStyle="1" w:styleId="CitationCar">
    <w:name w:val="Citation Car"/>
    <w:basedOn w:val="Policepardfaut"/>
    <w:link w:val="Citation"/>
    <w:uiPriority w:val="29"/>
    <w:rsid w:val="0051027C"/>
    <w:rPr>
      <w:iCs/>
      <w:color w:val="000000" w:themeColor="text1"/>
    </w:rPr>
  </w:style>
  <w:style w:type="paragraph" w:styleId="En-tte">
    <w:name w:val="header"/>
    <w:basedOn w:val="Normal"/>
    <w:link w:val="En-tteCar"/>
    <w:uiPriority w:val="99"/>
    <w:unhideWhenUsed/>
    <w:rsid w:val="00584DAD"/>
    <w:pPr>
      <w:tabs>
        <w:tab w:val="center" w:pos="4513"/>
        <w:tab w:val="right" w:pos="9026"/>
      </w:tabs>
      <w:spacing w:after="0" w:line="240" w:lineRule="auto"/>
    </w:pPr>
  </w:style>
  <w:style w:type="character" w:customStyle="1" w:styleId="En-tteCar">
    <w:name w:val="En-tête Car"/>
    <w:basedOn w:val="Policepardfaut"/>
    <w:link w:val="En-tte"/>
    <w:uiPriority w:val="99"/>
    <w:rsid w:val="00584DAD"/>
  </w:style>
  <w:style w:type="paragraph" w:styleId="Pieddepage">
    <w:name w:val="footer"/>
    <w:basedOn w:val="Normal"/>
    <w:link w:val="PieddepageCar"/>
    <w:uiPriority w:val="99"/>
    <w:unhideWhenUsed/>
    <w:rsid w:val="00584DA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84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5543</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Catta</dc:creator>
  <cp:keywords/>
  <dc:description/>
  <cp:lastModifiedBy>anne de castelnau</cp:lastModifiedBy>
  <cp:revision>2</cp:revision>
  <dcterms:created xsi:type="dcterms:W3CDTF">2016-04-20T20:12:00Z</dcterms:created>
  <dcterms:modified xsi:type="dcterms:W3CDTF">2016-04-20T20:12:00Z</dcterms:modified>
</cp:coreProperties>
</file>